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1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7744" w:rsidTr="00E71D63">
        <w:trPr>
          <w:trHeight w:val="522"/>
        </w:trPr>
        <w:tc>
          <w:tcPr>
            <w:tcW w:w="9016" w:type="dxa"/>
          </w:tcPr>
          <w:p w:rsidR="004E02A4" w:rsidRPr="004E02A4" w:rsidRDefault="0016098C" w:rsidP="00B86D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02A4">
              <w:rPr>
                <w:rFonts w:ascii="Arial" w:hAnsi="Arial" w:cs="Arial"/>
                <w:b/>
                <w:sz w:val="24"/>
                <w:szCs w:val="24"/>
              </w:rPr>
              <w:t>Procurement Title</w:t>
            </w:r>
          </w:p>
          <w:p w:rsidR="004E02A4" w:rsidRPr="00622AF0" w:rsidRDefault="0016098C" w:rsidP="00B86D08">
            <w:pPr>
              <w:jc w:val="both"/>
              <w:rPr>
                <w:rFonts w:ascii="Arial" w:hAnsi="Arial" w:cs="Arial"/>
              </w:rPr>
            </w:pPr>
            <w:r w:rsidRPr="00622AF0">
              <w:rPr>
                <w:rFonts w:ascii="Arial" w:hAnsi="Arial" w:cs="Arial"/>
              </w:rPr>
              <w:t xml:space="preserve">Lancashire Enterprise Zone </w:t>
            </w:r>
            <w:r w:rsidRPr="00622AF0">
              <w:rPr>
                <w:rFonts w:ascii="Arial" w:hAnsi="Arial" w:cs="Arial"/>
              </w:rPr>
              <w:t>Commercial Agency Services</w:t>
            </w:r>
          </w:p>
          <w:p w:rsidR="00345F9C" w:rsidRPr="00A92E4B" w:rsidRDefault="0016098C" w:rsidP="00B86D08">
            <w:pPr>
              <w:jc w:val="both"/>
              <w:rPr>
                <w:rFonts w:ascii="Arial" w:hAnsi="Arial" w:cs="Arial"/>
                <w:i/>
                <w:color w:val="FF0000"/>
              </w:rPr>
            </w:pPr>
          </w:p>
        </w:tc>
      </w:tr>
      <w:tr w:rsidR="00947744" w:rsidTr="00E71D63">
        <w:trPr>
          <w:trHeight w:val="511"/>
        </w:trPr>
        <w:tc>
          <w:tcPr>
            <w:tcW w:w="9016" w:type="dxa"/>
          </w:tcPr>
          <w:p w:rsidR="004E02A4" w:rsidRPr="004E02A4" w:rsidRDefault="0016098C" w:rsidP="00B86D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02A4">
              <w:rPr>
                <w:rFonts w:ascii="Arial" w:hAnsi="Arial" w:cs="Arial"/>
                <w:b/>
                <w:sz w:val="24"/>
                <w:szCs w:val="24"/>
              </w:rPr>
              <w:t>Procurement Option</w:t>
            </w:r>
          </w:p>
          <w:p w:rsidR="00505C87" w:rsidRPr="00622AF0" w:rsidRDefault="0016098C" w:rsidP="00B86D08">
            <w:pPr>
              <w:jc w:val="both"/>
              <w:rPr>
                <w:rFonts w:ascii="Arial" w:hAnsi="Arial" w:cs="Arial"/>
              </w:rPr>
            </w:pPr>
            <w:r w:rsidRPr="00622AF0">
              <w:rPr>
                <w:rFonts w:ascii="Arial" w:hAnsi="Arial" w:cs="Arial"/>
              </w:rPr>
              <w:t>OJEU – Open Tender</w:t>
            </w:r>
          </w:p>
          <w:p w:rsidR="00505C87" w:rsidRPr="00A92E4B" w:rsidRDefault="0016098C" w:rsidP="00F4169F">
            <w:pPr>
              <w:jc w:val="both"/>
              <w:rPr>
                <w:rFonts w:ascii="Arial" w:hAnsi="Arial" w:cs="Arial"/>
                <w:i/>
                <w:color w:val="FF0000"/>
              </w:rPr>
            </w:pPr>
          </w:p>
        </w:tc>
      </w:tr>
      <w:tr w:rsidR="00947744" w:rsidTr="00E71D63">
        <w:trPr>
          <w:trHeight w:val="511"/>
        </w:trPr>
        <w:tc>
          <w:tcPr>
            <w:tcW w:w="9016" w:type="dxa"/>
          </w:tcPr>
          <w:p w:rsidR="004E02A4" w:rsidRPr="004E02A4" w:rsidRDefault="0016098C" w:rsidP="00B86D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02A4">
              <w:rPr>
                <w:rFonts w:ascii="Arial" w:hAnsi="Arial" w:cs="Arial"/>
                <w:b/>
                <w:sz w:val="24"/>
                <w:szCs w:val="24"/>
              </w:rPr>
              <w:t>New or Existing Provision</w:t>
            </w:r>
          </w:p>
          <w:p w:rsidR="004E02A4" w:rsidRPr="00622AF0" w:rsidRDefault="0016098C" w:rsidP="00B86D08">
            <w:pPr>
              <w:jc w:val="both"/>
              <w:rPr>
                <w:rFonts w:ascii="Arial" w:hAnsi="Arial" w:cs="Arial"/>
              </w:rPr>
            </w:pPr>
            <w:r w:rsidRPr="00622AF0">
              <w:rPr>
                <w:rFonts w:ascii="Arial" w:hAnsi="Arial" w:cs="Arial"/>
              </w:rPr>
              <w:t>Existing</w:t>
            </w:r>
            <w:r>
              <w:rPr>
                <w:rFonts w:ascii="Arial" w:hAnsi="Arial" w:cs="Arial"/>
              </w:rPr>
              <w:t xml:space="preserve"> with development.  T</w:t>
            </w:r>
            <w:r w:rsidRPr="00622AF0">
              <w:rPr>
                <w:rFonts w:ascii="Arial" w:hAnsi="Arial" w:cs="Arial"/>
              </w:rPr>
              <w:t>he current contract end date for the Commercial Agency Services to the Samlesbury</w:t>
            </w:r>
            <w:r w:rsidRPr="00622AF0">
              <w:rPr>
                <w:rFonts w:ascii="Arial" w:hAnsi="Arial" w:cs="Arial"/>
              </w:rPr>
              <w:t xml:space="preserve"> Aerospace Enterprise Zone is </w:t>
            </w:r>
            <w:r w:rsidRPr="00622AF0">
              <w:rPr>
                <w:rFonts w:ascii="Arial" w:hAnsi="Arial" w:cs="Arial"/>
              </w:rPr>
              <w:t>31/</w:t>
            </w:r>
            <w:r w:rsidRPr="00622AF0">
              <w:rPr>
                <w:rFonts w:ascii="Arial" w:hAnsi="Arial" w:cs="Arial"/>
              </w:rPr>
              <w:t>03/202</w:t>
            </w:r>
            <w:r>
              <w:rPr>
                <w:rFonts w:ascii="Arial" w:hAnsi="Arial" w:cs="Arial"/>
              </w:rPr>
              <w:t>1 however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as part of the re-procurement </w:t>
            </w:r>
            <w:r>
              <w:rPr>
                <w:rFonts w:ascii="Arial" w:hAnsi="Arial" w:cs="Arial"/>
              </w:rPr>
              <w:t>the council is</w:t>
            </w:r>
            <w:r>
              <w:rPr>
                <w:rFonts w:ascii="Arial" w:hAnsi="Arial" w:cs="Arial"/>
              </w:rPr>
              <w:t xml:space="preserve"> collaborating with Blackpool Council to provide a single Commercial Agent for all Lancashire Enterprise Zones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(also including Hillhouse Technology, Warton Aviati</w:t>
            </w:r>
            <w:r>
              <w:rPr>
                <w:rFonts w:ascii="Arial" w:hAnsi="Arial" w:cs="Arial"/>
              </w:rPr>
              <w:t xml:space="preserve">on and Blackpool Airport) </w:t>
            </w:r>
            <w:r>
              <w:rPr>
                <w:rFonts w:ascii="Arial" w:hAnsi="Arial" w:cs="Arial"/>
              </w:rPr>
              <w:t>via a single supplier framework agreement</w:t>
            </w:r>
            <w:r>
              <w:rPr>
                <w:rFonts w:ascii="Arial" w:hAnsi="Arial" w:cs="Arial"/>
              </w:rPr>
              <w:t>.</w:t>
            </w:r>
          </w:p>
          <w:p w:rsidR="00345F9C" w:rsidRPr="00A92E4B" w:rsidRDefault="0016098C" w:rsidP="00B86D08">
            <w:pPr>
              <w:jc w:val="both"/>
              <w:rPr>
                <w:rFonts w:ascii="Arial" w:hAnsi="Arial" w:cs="Arial"/>
                <w:i/>
                <w:color w:val="FF0000"/>
              </w:rPr>
            </w:pPr>
          </w:p>
        </w:tc>
      </w:tr>
      <w:tr w:rsidR="00947744" w:rsidTr="00E71D63">
        <w:trPr>
          <w:trHeight w:val="802"/>
        </w:trPr>
        <w:tc>
          <w:tcPr>
            <w:tcW w:w="9016" w:type="dxa"/>
          </w:tcPr>
          <w:p w:rsidR="00345F9C" w:rsidRPr="00345F9C" w:rsidRDefault="0016098C" w:rsidP="00B86D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02A4">
              <w:rPr>
                <w:rFonts w:ascii="Arial" w:hAnsi="Arial" w:cs="Arial"/>
                <w:b/>
                <w:sz w:val="24"/>
                <w:szCs w:val="24"/>
              </w:rPr>
              <w:t xml:space="preserve">Estimated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Contract </w:t>
            </w:r>
            <w:r w:rsidRPr="004E02A4">
              <w:rPr>
                <w:rFonts w:ascii="Arial" w:hAnsi="Arial" w:cs="Arial"/>
                <w:b/>
                <w:sz w:val="24"/>
                <w:szCs w:val="24"/>
              </w:rPr>
              <w:t>Value and Funding Arrangements</w:t>
            </w:r>
          </w:p>
          <w:p w:rsidR="000B6F87" w:rsidRPr="00622AF0" w:rsidRDefault="0016098C" w:rsidP="00B86D08">
            <w:pPr>
              <w:jc w:val="both"/>
              <w:rPr>
                <w:rFonts w:ascii="Arial" w:hAnsi="Arial" w:cs="Arial"/>
              </w:rPr>
            </w:pPr>
            <w:r w:rsidRPr="00622AF0">
              <w:rPr>
                <w:rFonts w:ascii="Arial" w:hAnsi="Arial" w:cs="Arial"/>
              </w:rPr>
              <w:t xml:space="preserve">It is estimated the contract value </w:t>
            </w:r>
            <w:r w:rsidRPr="00622AF0">
              <w:rPr>
                <w:rFonts w:ascii="Arial" w:hAnsi="Arial" w:cs="Arial"/>
              </w:rPr>
              <w:t xml:space="preserve">for all </w:t>
            </w:r>
            <w:r w:rsidRPr="00622AF0">
              <w:rPr>
                <w:rFonts w:ascii="Arial" w:hAnsi="Arial" w:cs="Arial"/>
              </w:rPr>
              <w:t>Enterprise Zone Commercial Agency S</w:t>
            </w:r>
            <w:r w:rsidRPr="00622AF0">
              <w:rPr>
                <w:rFonts w:ascii="Arial" w:hAnsi="Arial" w:cs="Arial"/>
              </w:rPr>
              <w:t>ervices will be</w:t>
            </w:r>
            <w:r w:rsidRPr="00622AF0">
              <w:rPr>
                <w:rFonts w:ascii="Arial" w:hAnsi="Arial" w:cs="Arial"/>
              </w:rPr>
              <w:t xml:space="preserve"> circa </w:t>
            </w:r>
            <w:r w:rsidRPr="00622AF0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800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Pr="00622AF0">
              <w:rPr>
                <w:rFonts w:ascii="Arial" w:hAnsi="Arial" w:cs="Arial"/>
              </w:rPr>
              <w:t xml:space="preserve"> per annum.  </w:t>
            </w:r>
            <w:r w:rsidRPr="00622AF0">
              <w:rPr>
                <w:rFonts w:ascii="Arial" w:hAnsi="Arial" w:cs="Arial"/>
              </w:rPr>
              <w:t>At present the</w:t>
            </w:r>
            <w:r w:rsidRPr="00622AF0">
              <w:rPr>
                <w:rFonts w:ascii="Arial" w:hAnsi="Arial" w:cs="Arial"/>
              </w:rPr>
              <w:t xml:space="preserve"> full potential contract value is split into the below elements:</w:t>
            </w:r>
          </w:p>
          <w:p w:rsidR="009C5BB6" w:rsidRDefault="0016098C" w:rsidP="00B86D08">
            <w:pPr>
              <w:jc w:val="both"/>
              <w:rPr>
                <w:rFonts w:ascii="Arial" w:hAnsi="Arial" w:cs="Arial"/>
              </w:rPr>
            </w:pPr>
          </w:p>
          <w:p w:rsidR="009C5BB6" w:rsidRDefault="0016098C" w:rsidP="00B86D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Blackpool</w:t>
            </w:r>
            <w:r>
              <w:rPr>
                <w:rFonts w:ascii="Arial" w:hAnsi="Arial" w:cs="Arial"/>
              </w:rPr>
              <w:t xml:space="preserve"> Airport</w:t>
            </w:r>
            <w:r>
              <w:rPr>
                <w:rFonts w:ascii="Arial" w:hAnsi="Arial" w:cs="Arial"/>
              </w:rPr>
              <w:t xml:space="preserve"> and Hillhouse</w:t>
            </w:r>
            <w:r>
              <w:rPr>
                <w:rFonts w:ascii="Arial" w:hAnsi="Arial" w:cs="Arial"/>
              </w:rPr>
              <w:t xml:space="preserve"> Technology Enterprise Zones</w:t>
            </w:r>
            <w:r>
              <w:rPr>
                <w:rFonts w:ascii="Arial" w:hAnsi="Arial" w:cs="Arial"/>
              </w:rPr>
              <w:t>:</w:t>
            </w:r>
          </w:p>
          <w:p w:rsidR="009C5BB6" w:rsidRPr="00ED782C" w:rsidRDefault="0016098C" w:rsidP="00ED782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ED782C">
              <w:rPr>
                <w:rFonts w:ascii="Arial" w:hAnsi="Arial" w:cs="Arial"/>
              </w:rPr>
              <w:t xml:space="preserve">Consultancy and Strategic Advice Services:  </w:t>
            </w:r>
            <w:r w:rsidRPr="00ED782C">
              <w:rPr>
                <w:rFonts w:ascii="Arial" w:hAnsi="Arial" w:cs="Arial"/>
              </w:rPr>
              <w:t>estimated</w:t>
            </w:r>
            <w:r w:rsidRPr="00ED782C">
              <w:rPr>
                <w:rFonts w:ascii="Arial" w:hAnsi="Arial" w:cs="Arial"/>
              </w:rPr>
              <w:t xml:space="preserve"> to be circa £15,000 per annum; and</w:t>
            </w:r>
          </w:p>
          <w:p w:rsidR="009C5BB6" w:rsidRPr="00ED782C" w:rsidRDefault="0016098C" w:rsidP="00ED782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ED782C">
              <w:rPr>
                <w:rFonts w:ascii="Arial" w:hAnsi="Arial" w:cs="Arial"/>
              </w:rPr>
              <w:t xml:space="preserve">Potential Property Deals: </w:t>
            </w:r>
            <w:r w:rsidRPr="00ED782C">
              <w:rPr>
                <w:rFonts w:ascii="Arial" w:hAnsi="Arial" w:cs="Arial"/>
              </w:rPr>
              <w:t>estimated</w:t>
            </w:r>
            <w:r w:rsidRPr="00ED782C">
              <w:rPr>
                <w:rFonts w:ascii="Arial" w:hAnsi="Arial" w:cs="Arial"/>
              </w:rPr>
              <w:t xml:space="preserve"> to be circa £331,500 per annum.  This figure is based on</w:t>
            </w:r>
            <w:r w:rsidRPr="00ED782C">
              <w:rPr>
                <w:rFonts w:ascii="Arial" w:hAnsi="Arial" w:cs="Arial"/>
              </w:rPr>
              <w:t xml:space="preserve"> estimated</w:t>
            </w:r>
            <w:r w:rsidRPr="00ED782C">
              <w:rPr>
                <w:rFonts w:ascii="Arial" w:hAnsi="Arial" w:cs="Arial"/>
              </w:rPr>
              <w:t xml:space="preserve"> maximum number of</w:t>
            </w:r>
            <w:r w:rsidRPr="00ED782C">
              <w:rPr>
                <w:rFonts w:ascii="Arial" w:hAnsi="Arial" w:cs="Arial"/>
              </w:rPr>
              <w:t xml:space="preserve"> potential</w:t>
            </w:r>
            <w:r w:rsidRPr="00ED782C">
              <w:rPr>
                <w:rFonts w:ascii="Arial" w:hAnsi="Arial" w:cs="Arial"/>
              </w:rPr>
              <w:t xml:space="preserve"> property sales and rentals</w:t>
            </w:r>
            <w:r w:rsidRPr="00ED782C">
              <w:rPr>
                <w:rFonts w:ascii="Arial" w:hAnsi="Arial" w:cs="Arial"/>
              </w:rPr>
              <w:t xml:space="preserve"> if secured</w:t>
            </w:r>
          </w:p>
          <w:p w:rsidR="009C5BB6" w:rsidRPr="00622AF0" w:rsidRDefault="0016098C" w:rsidP="00B86D08">
            <w:pPr>
              <w:jc w:val="both"/>
              <w:rPr>
                <w:rFonts w:ascii="Arial" w:hAnsi="Arial" w:cs="Arial"/>
              </w:rPr>
            </w:pPr>
          </w:p>
          <w:p w:rsidR="00754262" w:rsidRDefault="0016098C" w:rsidP="00B86D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amlesbury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erospace </w:t>
            </w:r>
            <w:r>
              <w:rPr>
                <w:rFonts w:ascii="Arial" w:hAnsi="Arial" w:cs="Arial"/>
              </w:rPr>
              <w:t>and W</w:t>
            </w:r>
            <w:r>
              <w:rPr>
                <w:rFonts w:ascii="Arial" w:hAnsi="Arial" w:cs="Arial"/>
              </w:rPr>
              <w:t xml:space="preserve">arton Aviation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nterprise 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one</w:t>
            </w:r>
            <w:r>
              <w:rPr>
                <w:rFonts w:ascii="Arial" w:hAnsi="Arial" w:cs="Arial"/>
              </w:rPr>
              <w:t>:</w:t>
            </w:r>
          </w:p>
          <w:p w:rsidR="009C5BB6" w:rsidRPr="00ED782C" w:rsidRDefault="0016098C" w:rsidP="00ED782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ED782C">
              <w:rPr>
                <w:rFonts w:ascii="Arial" w:hAnsi="Arial" w:cs="Arial"/>
              </w:rPr>
              <w:t xml:space="preserve">Consultancy and Strategic Advice Services:  </w:t>
            </w:r>
            <w:r w:rsidRPr="00ED782C">
              <w:rPr>
                <w:rFonts w:ascii="Arial" w:hAnsi="Arial" w:cs="Arial"/>
              </w:rPr>
              <w:t>estimated</w:t>
            </w:r>
            <w:r w:rsidRPr="00ED782C">
              <w:rPr>
                <w:rFonts w:ascii="Arial" w:hAnsi="Arial" w:cs="Arial"/>
              </w:rPr>
              <w:t xml:space="preserve"> to be cir</w:t>
            </w:r>
            <w:r w:rsidRPr="00ED782C">
              <w:rPr>
                <w:rFonts w:ascii="Arial" w:hAnsi="Arial" w:cs="Arial"/>
              </w:rPr>
              <w:t>ca £2</w:t>
            </w:r>
            <w:r w:rsidRPr="00ED782C">
              <w:rPr>
                <w:rFonts w:ascii="Arial" w:hAnsi="Arial" w:cs="Arial"/>
              </w:rPr>
              <w:t>5</w:t>
            </w:r>
            <w:r w:rsidRPr="00ED782C">
              <w:rPr>
                <w:rFonts w:ascii="Arial" w:hAnsi="Arial" w:cs="Arial"/>
              </w:rPr>
              <w:t>,000 per annum; and</w:t>
            </w:r>
          </w:p>
          <w:p w:rsidR="009C5BB6" w:rsidRPr="00ED782C" w:rsidRDefault="0016098C" w:rsidP="00ED782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ED782C">
              <w:rPr>
                <w:rFonts w:ascii="Arial" w:hAnsi="Arial" w:cs="Arial"/>
              </w:rPr>
              <w:t xml:space="preserve">Potential Property Deals: </w:t>
            </w:r>
            <w:r w:rsidRPr="00ED782C">
              <w:rPr>
                <w:rFonts w:ascii="Arial" w:hAnsi="Arial" w:cs="Arial"/>
              </w:rPr>
              <w:t>estimated</w:t>
            </w:r>
            <w:r w:rsidRPr="00ED782C">
              <w:rPr>
                <w:rFonts w:ascii="Arial" w:hAnsi="Arial" w:cs="Arial"/>
              </w:rPr>
              <w:t xml:space="preserve"> to be circa </w:t>
            </w:r>
            <w:r w:rsidRPr="00ED782C">
              <w:rPr>
                <w:rFonts w:ascii="Arial" w:hAnsi="Arial" w:cs="Arial"/>
              </w:rPr>
              <w:t>£</w:t>
            </w:r>
            <w:r w:rsidRPr="00ED782C">
              <w:rPr>
                <w:rFonts w:ascii="Arial" w:hAnsi="Arial" w:cs="Arial"/>
              </w:rPr>
              <w:t>427,</w:t>
            </w:r>
            <w:r w:rsidRPr="00ED782C">
              <w:rPr>
                <w:rFonts w:ascii="Arial" w:hAnsi="Arial" w:cs="Arial"/>
              </w:rPr>
              <w:t>5</w:t>
            </w:r>
            <w:r w:rsidRPr="00ED782C">
              <w:rPr>
                <w:rFonts w:ascii="Arial" w:hAnsi="Arial" w:cs="Arial"/>
              </w:rPr>
              <w:t>0</w:t>
            </w:r>
            <w:r w:rsidRPr="00ED782C">
              <w:rPr>
                <w:rFonts w:ascii="Arial" w:hAnsi="Arial" w:cs="Arial"/>
              </w:rPr>
              <w:t>0</w:t>
            </w:r>
            <w:r w:rsidRPr="00ED782C">
              <w:rPr>
                <w:rFonts w:ascii="Arial" w:hAnsi="Arial" w:cs="Arial"/>
              </w:rPr>
              <w:t xml:space="preserve"> per annum.  This figure is based on an estimated </w:t>
            </w:r>
            <w:r w:rsidRPr="00ED782C">
              <w:rPr>
                <w:rFonts w:ascii="Arial" w:hAnsi="Arial" w:cs="Arial"/>
              </w:rPr>
              <w:t>maximum number of potential land sales.</w:t>
            </w:r>
          </w:p>
          <w:p w:rsidR="009C5BB6" w:rsidRPr="00622AF0" w:rsidRDefault="0016098C" w:rsidP="00B86D08">
            <w:pPr>
              <w:jc w:val="both"/>
              <w:rPr>
                <w:rFonts w:ascii="Arial" w:hAnsi="Arial" w:cs="Arial"/>
              </w:rPr>
            </w:pPr>
          </w:p>
          <w:p w:rsidR="00754262" w:rsidRPr="00622AF0" w:rsidRDefault="0016098C" w:rsidP="00B86D08">
            <w:pPr>
              <w:jc w:val="both"/>
              <w:rPr>
                <w:rFonts w:ascii="Arial" w:hAnsi="Arial" w:cs="Arial"/>
              </w:rPr>
            </w:pPr>
            <w:r w:rsidRPr="00622AF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Lancashire County Council</w:t>
            </w:r>
            <w:r w:rsidRPr="00622AF0">
              <w:rPr>
                <w:rFonts w:ascii="Arial" w:hAnsi="Arial" w:cs="Arial"/>
              </w:rPr>
              <w:t xml:space="preserve"> </w:t>
            </w:r>
            <w:r w:rsidRPr="00622AF0">
              <w:rPr>
                <w:rFonts w:ascii="Arial" w:hAnsi="Arial" w:cs="Arial"/>
              </w:rPr>
              <w:t xml:space="preserve">spend is </w:t>
            </w:r>
            <w:r>
              <w:rPr>
                <w:rFonts w:ascii="Arial" w:hAnsi="Arial" w:cs="Arial"/>
              </w:rPr>
              <w:t>estimated</w:t>
            </w:r>
            <w:r w:rsidRPr="00622AF0">
              <w:rPr>
                <w:rFonts w:ascii="Arial" w:hAnsi="Arial" w:cs="Arial"/>
              </w:rPr>
              <w:t xml:space="preserve"> </w:t>
            </w:r>
            <w:r w:rsidRPr="00622AF0">
              <w:rPr>
                <w:rFonts w:ascii="Arial" w:hAnsi="Arial" w:cs="Arial"/>
              </w:rPr>
              <w:t>to be circa £</w:t>
            </w:r>
            <w:r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Pr="00622AF0">
              <w:rPr>
                <w:rFonts w:ascii="Arial" w:hAnsi="Arial" w:cs="Arial"/>
              </w:rPr>
              <w:t xml:space="preserve"> with the Blackpool Council </w:t>
            </w:r>
            <w:r>
              <w:rPr>
                <w:rFonts w:ascii="Arial" w:hAnsi="Arial" w:cs="Arial"/>
              </w:rPr>
              <w:t xml:space="preserve">estimated </w:t>
            </w:r>
            <w:r w:rsidRPr="00622AF0">
              <w:rPr>
                <w:rFonts w:ascii="Arial" w:hAnsi="Arial" w:cs="Arial"/>
              </w:rPr>
              <w:t>spend being ci</w:t>
            </w:r>
            <w:r>
              <w:rPr>
                <w:rFonts w:ascii="Arial" w:hAnsi="Arial" w:cs="Arial"/>
              </w:rPr>
              <w:t>r</w:t>
            </w:r>
            <w:r w:rsidRPr="00622AF0">
              <w:rPr>
                <w:rFonts w:ascii="Arial" w:hAnsi="Arial" w:cs="Arial"/>
              </w:rPr>
              <w:t>ca £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,000</w:t>
            </w:r>
            <w:r w:rsidRPr="00622AF0">
              <w:rPr>
                <w:rFonts w:ascii="Arial" w:hAnsi="Arial" w:cs="Arial"/>
              </w:rPr>
              <w:t xml:space="preserve">.  </w:t>
            </w:r>
          </w:p>
          <w:p w:rsidR="00345F9C" w:rsidRPr="00E71D63" w:rsidRDefault="0016098C" w:rsidP="00754262">
            <w:pPr>
              <w:jc w:val="both"/>
              <w:rPr>
                <w:rFonts w:ascii="Arial" w:hAnsi="Arial" w:cs="Arial"/>
                <w:i/>
                <w:color w:val="FF0000"/>
              </w:rPr>
            </w:pPr>
          </w:p>
        </w:tc>
      </w:tr>
      <w:tr w:rsidR="00947744" w:rsidTr="00E71D63">
        <w:trPr>
          <w:trHeight w:val="802"/>
        </w:trPr>
        <w:tc>
          <w:tcPr>
            <w:tcW w:w="9016" w:type="dxa"/>
          </w:tcPr>
          <w:p w:rsidR="00D752B6" w:rsidRDefault="0016098C" w:rsidP="00B86D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Contract Duration</w:t>
            </w:r>
          </w:p>
          <w:p w:rsidR="00D752B6" w:rsidRPr="00622AF0" w:rsidRDefault="0016098C" w:rsidP="00B86D08">
            <w:pPr>
              <w:jc w:val="both"/>
              <w:rPr>
                <w:rFonts w:ascii="ArialMT" w:hAnsi="ArialMT" w:cs="ArialMT"/>
                <w:szCs w:val="24"/>
              </w:rPr>
            </w:pPr>
            <w:r w:rsidRPr="00622AF0">
              <w:rPr>
                <w:rFonts w:ascii="ArialMT" w:hAnsi="ArialMT" w:cs="ArialMT"/>
                <w:szCs w:val="24"/>
              </w:rPr>
              <w:t xml:space="preserve">The </w:t>
            </w:r>
            <w:r w:rsidRPr="00622AF0">
              <w:rPr>
                <w:rFonts w:ascii="ArialMT" w:hAnsi="ArialMT" w:cs="ArialMT"/>
                <w:szCs w:val="24"/>
              </w:rPr>
              <w:t xml:space="preserve">framework agreement </w:t>
            </w:r>
            <w:r w:rsidRPr="00622AF0">
              <w:rPr>
                <w:rFonts w:ascii="ArialMT" w:hAnsi="ArialMT" w:cs="ArialMT"/>
                <w:szCs w:val="24"/>
              </w:rPr>
              <w:t>will be let for</w:t>
            </w:r>
            <w:r w:rsidRPr="00622AF0">
              <w:rPr>
                <w:rFonts w:ascii="ArialMT" w:hAnsi="ArialMT" w:cs="ArialMT"/>
                <w:szCs w:val="24"/>
              </w:rPr>
              <w:t xml:space="preserve"> an i</w:t>
            </w:r>
            <w:r w:rsidRPr="00622AF0">
              <w:rPr>
                <w:rFonts w:ascii="ArialMT" w:hAnsi="ArialMT" w:cs="ArialMT"/>
                <w:szCs w:val="24"/>
              </w:rPr>
              <w:t xml:space="preserve">nitial </w:t>
            </w:r>
            <w:r w:rsidRPr="00622AF0">
              <w:rPr>
                <w:rFonts w:ascii="ArialMT" w:hAnsi="ArialMT" w:cs="ArialMT"/>
                <w:szCs w:val="24"/>
              </w:rPr>
              <w:t>period of 24 months with an option to extend beyond the initial term to a maximum of a further 24 months.</w:t>
            </w:r>
            <w:r w:rsidRPr="00622AF0">
              <w:rPr>
                <w:rFonts w:ascii="ArialMT" w:hAnsi="ArialMT" w:cs="ArialMT"/>
                <w:szCs w:val="24"/>
              </w:rPr>
              <w:t xml:space="preserve">  The framework agreement will allow for call offs to be completed by both LCC and Blackpool Council</w:t>
            </w:r>
            <w:r>
              <w:rPr>
                <w:rFonts w:ascii="ArialMT" w:hAnsi="ArialMT" w:cs="ArialMT"/>
                <w:szCs w:val="24"/>
              </w:rPr>
              <w:t xml:space="preserve"> alongside leaving</w:t>
            </w:r>
            <w:r>
              <w:rPr>
                <w:rFonts w:ascii="ArialMT" w:hAnsi="ArialMT" w:cs="ArialMT"/>
                <w:szCs w:val="24"/>
              </w:rPr>
              <w:t xml:space="preserve"> access </w:t>
            </w:r>
            <w:r>
              <w:rPr>
                <w:rFonts w:ascii="ArialMT" w:hAnsi="ArialMT" w:cs="ArialMT"/>
                <w:szCs w:val="24"/>
              </w:rPr>
              <w:t xml:space="preserve"> open for Fylde and Wyre Councils</w:t>
            </w:r>
            <w:r w:rsidRPr="00622AF0">
              <w:rPr>
                <w:rFonts w:ascii="ArialMT" w:hAnsi="ArialMT" w:cs="ArialMT"/>
                <w:szCs w:val="24"/>
              </w:rPr>
              <w:t>.</w:t>
            </w:r>
            <w:r>
              <w:rPr>
                <w:rFonts w:ascii="ArialMT" w:hAnsi="ArialMT" w:cs="ArialMT"/>
                <w:szCs w:val="24"/>
              </w:rPr>
              <w:t xml:space="preserve"> </w:t>
            </w:r>
          </w:p>
          <w:p w:rsidR="00345F9C" w:rsidRPr="00D752B6" w:rsidRDefault="0016098C" w:rsidP="00B86D08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947744" w:rsidTr="00E71D63">
        <w:trPr>
          <w:trHeight w:val="1546"/>
        </w:trPr>
        <w:tc>
          <w:tcPr>
            <w:tcW w:w="9016" w:type="dxa"/>
          </w:tcPr>
          <w:p w:rsidR="004E02A4" w:rsidRPr="004E02A4" w:rsidRDefault="0016098C" w:rsidP="00B86D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02A4">
              <w:rPr>
                <w:rFonts w:ascii="Arial" w:hAnsi="Arial" w:cs="Arial"/>
                <w:b/>
                <w:sz w:val="24"/>
                <w:szCs w:val="24"/>
              </w:rPr>
              <w:t>Lotting</w:t>
            </w:r>
          </w:p>
          <w:p w:rsidR="00FE6409" w:rsidRPr="004E02A4" w:rsidRDefault="0016098C" w:rsidP="00905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AF0">
              <w:rPr>
                <w:rFonts w:ascii="Arial" w:hAnsi="Arial" w:cs="Arial"/>
                <w:szCs w:val="24"/>
              </w:rPr>
              <w:t xml:space="preserve">The framework agreement will not be split into lots.  This decision mirrors the re-procurement's aim to have a single commercial agent to cover all services across all Lancashire Enterprise Zones. </w:t>
            </w:r>
          </w:p>
        </w:tc>
      </w:tr>
      <w:tr w:rsidR="00947744" w:rsidTr="00E71D63">
        <w:trPr>
          <w:trHeight w:val="1322"/>
        </w:trPr>
        <w:tc>
          <w:tcPr>
            <w:tcW w:w="9016" w:type="dxa"/>
            <w:vAlign w:val="center"/>
          </w:tcPr>
          <w:p w:rsidR="00E71D63" w:rsidRDefault="0016098C" w:rsidP="00B86D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02A4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3063"/>
            </w:tblGrid>
            <w:tr w:rsidR="00947744" w:rsidTr="00E71D63">
              <w:trPr>
                <w:trHeight w:val="401"/>
              </w:trPr>
              <w:tc>
                <w:tcPr>
                  <w:tcW w:w="2972" w:type="dxa"/>
                  <w:vAlign w:val="center"/>
                </w:tcPr>
                <w:p w:rsidR="00E71D63" w:rsidRPr="00622AF0" w:rsidRDefault="0016098C" w:rsidP="007530F5">
                  <w:pPr>
                    <w:framePr w:hSpace="180" w:wrap="around" w:vAnchor="page" w:hAnchor="margin" w:y="1613"/>
                    <w:jc w:val="both"/>
                    <w:rPr>
                      <w:rFonts w:ascii="Arial" w:hAnsi="Arial" w:cs="Arial"/>
                    </w:rPr>
                  </w:pPr>
                  <w:r w:rsidRPr="00622AF0">
                    <w:rPr>
                      <w:rFonts w:ascii="Arial" w:hAnsi="Arial" w:cs="Arial"/>
                    </w:rPr>
                    <w:t>Q</w:t>
                  </w:r>
                  <w:r w:rsidRPr="00622AF0">
                    <w:rPr>
                      <w:rFonts w:ascii="Arial" w:hAnsi="Arial" w:cs="Arial"/>
                    </w:rPr>
                    <w:t xml:space="preserve">uality Criteria </w:t>
                  </w:r>
                  <w:r>
                    <w:rPr>
                      <w:rFonts w:ascii="Arial" w:hAnsi="Arial" w:cs="Arial"/>
                    </w:rPr>
                    <w:t>70</w:t>
                  </w:r>
                  <w:r w:rsidRPr="00622AF0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3063" w:type="dxa"/>
                  <w:vAlign w:val="center"/>
                </w:tcPr>
                <w:p w:rsidR="00E71D63" w:rsidRPr="00622AF0" w:rsidRDefault="0016098C" w:rsidP="007530F5">
                  <w:pPr>
                    <w:framePr w:hSpace="180" w:wrap="around" w:vAnchor="page" w:hAnchor="margin" w:y="1613"/>
                    <w:jc w:val="both"/>
                    <w:rPr>
                      <w:rFonts w:ascii="Arial" w:hAnsi="Arial" w:cs="Arial"/>
                    </w:rPr>
                  </w:pPr>
                  <w:r w:rsidRPr="00622AF0">
                    <w:rPr>
                      <w:rFonts w:ascii="Arial" w:hAnsi="Arial" w:cs="Arial"/>
                    </w:rPr>
                    <w:t xml:space="preserve">Financial Criteria </w:t>
                  </w:r>
                  <w:r>
                    <w:rPr>
                      <w:rFonts w:ascii="Arial" w:hAnsi="Arial" w:cs="Arial"/>
                    </w:rPr>
                    <w:t>30</w:t>
                  </w:r>
                  <w:r w:rsidRPr="00622AF0">
                    <w:rPr>
                      <w:rFonts w:ascii="Arial" w:hAnsi="Arial" w:cs="Arial"/>
                    </w:rPr>
                    <w:t>%</w:t>
                  </w:r>
                </w:p>
              </w:tc>
            </w:tr>
          </w:tbl>
          <w:p w:rsidR="00345F9C" w:rsidRPr="00622AF0" w:rsidRDefault="0016098C" w:rsidP="00B86D08">
            <w:pPr>
              <w:jc w:val="both"/>
              <w:rPr>
                <w:rFonts w:ascii="Arial" w:hAnsi="Arial" w:cs="Arial"/>
              </w:rPr>
            </w:pPr>
          </w:p>
          <w:p w:rsidR="00D05CEA" w:rsidRPr="0016098C" w:rsidRDefault="0016098C" w:rsidP="00B86D08">
            <w:pPr>
              <w:jc w:val="both"/>
              <w:rPr>
                <w:rFonts w:ascii="Arial" w:hAnsi="Arial" w:cs="Arial"/>
              </w:rPr>
            </w:pPr>
            <w:r w:rsidRPr="00622AF0">
              <w:rPr>
                <w:rFonts w:ascii="Arial" w:hAnsi="Arial" w:cs="Arial"/>
              </w:rPr>
              <w:t xml:space="preserve">Social value will take </w:t>
            </w:r>
            <w:r>
              <w:rPr>
                <w:rFonts w:ascii="Arial" w:hAnsi="Arial" w:cs="Arial"/>
              </w:rPr>
              <w:t>5</w:t>
            </w:r>
            <w:r w:rsidRPr="00622AF0">
              <w:rPr>
                <w:rFonts w:ascii="Arial" w:hAnsi="Arial" w:cs="Arial"/>
              </w:rPr>
              <w:t>% of the apportioned quality criteria detailed above and will align to the County Council's social value policy and objectives.</w:t>
            </w:r>
            <w:bookmarkStart w:id="0" w:name="_GoBack"/>
            <w:bookmarkEnd w:id="0"/>
          </w:p>
        </w:tc>
      </w:tr>
      <w:tr w:rsidR="00947744" w:rsidTr="00E71D63">
        <w:trPr>
          <w:trHeight w:val="6794"/>
        </w:trPr>
        <w:tc>
          <w:tcPr>
            <w:tcW w:w="9016" w:type="dxa"/>
          </w:tcPr>
          <w:p w:rsidR="004E02A4" w:rsidRPr="004E02A4" w:rsidRDefault="0016098C" w:rsidP="00B86D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02A4">
              <w:rPr>
                <w:rFonts w:ascii="Arial" w:hAnsi="Arial" w:cs="Arial"/>
                <w:b/>
                <w:sz w:val="24"/>
                <w:szCs w:val="24"/>
              </w:rPr>
              <w:lastRenderedPageBreak/>
              <w:t>Contract Detail</w:t>
            </w:r>
          </w:p>
          <w:p w:rsidR="00225544" w:rsidRDefault="0016098C" w:rsidP="00721507">
            <w:pPr>
              <w:jc w:val="both"/>
              <w:rPr>
                <w:rFonts w:ascii="Arial" w:hAnsi="Arial" w:cs="Arial"/>
                <w:i/>
                <w:color w:val="FF0000"/>
              </w:rPr>
            </w:pPr>
          </w:p>
          <w:p w:rsidR="0090567B" w:rsidRDefault="0016098C" w:rsidP="00721507">
            <w:pPr>
              <w:jc w:val="both"/>
              <w:rPr>
                <w:rFonts w:ascii="Arial" w:hAnsi="Arial" w:cs="Arial"/>
              </w:rPr>
            </w:pPr>
            <w:r w:rsidRPr="00622AF0">
              <w:rPr>
                <w:rFonts w:ascii="Arial" w:hAnsi="Arial" w:cs="Arial"/>
              </w:rPr>
              <w:t>The Commercial Agency Services for the Samlesbury</w:t>
            </w:r>
            <w:r w:rsidRPr="00622AF0">
              <w:rPr>
                <w:rFonts w:ascii="Arial" w:hAnsi="Arial" w:cs="Arial"/>
              </w:rPr>
              <w:t xml:space="preserve"> Aerospace Enterprise Zone are due to expire </w:t>
            </w:r>
            <w:r w:rsidRPr="00622AF0">
              <w:rPr>
                <w:rFonts w:ascii="Arial" w:hAnsi="Arial" w:cs="Arial"/>
              </w:rPr>
              <w:t xml:space="preserve">at the end of </w:t>
            </w:r>
            <w:r w:rsidRPr="00622AF0">
              <w:rPr>
                <w:rFonts w:ascii="Arial" w:hAnsi="Arial" w:cs="Arial"/>
              </w:rPr>
              <w:t>March 202</w:t>
            </w:r>
            <w:r w:rsidRPr="00622AF0">
              <w:rPr>
                <w:rFonts w:ascii="Arial" w:hAnsi="Arial" w:cs="Arial"/>
              </w:rPr>
              <w:t>1</w:t>
            </w:r>
            <w:r w:rsidRPr="00622AF0">
              <w:rPr>
                <w:rFonts w:ascii="Arial" w:hAnsi="Arial" w:cs="Arial"/>
              </w:rPr>
              <w:t xml:space="preserve"> and as such there is a need to re-procure</w:t>
            </w:r>
            <w:r>
              <w:rPr>
                <w:rFonts w:ascii="Arial" w:hAnsi="Arial" w:cs="Arial"/>
              </w:rPr>
              <w:t>.</w:t>
            </w:r>
            <w:r w:rsidRPr="00622AF0">
              <w:rPr>
                <w:rFonts w:ascii="Arial" w:hAnsi="Arial" w:cs="Arial"/>
              </w:rPr>
              <w:t xml:space="preserve"> Following a</w:t>
            </w:r>
            <w:r w:rsidRPr="00622AF0">
              <w:rPr>
                <w:rFonts w:ascii="Arial" w:hAnsi="Arial" w:cs="Arial"/>
              </w:rPr>
              <w:t>n</w:t>
            </w:r>
            <w:r w:rsidRPr="00622AF0">
              <w:rPr>
                <w:rFonts w:ascii="Arial" w:hAnsi="Arial" w:cs="Arial"/>
              </w:rPr>
              <w:t xml:space="preserve"> Enterprise Zone Governance Committee meeting it </w:t>
            </w:r>
            <w:r>
              <w:rPr>
                <w:rFonts w:ascii="Arial" w:hAnsi="Arial" w:cs="Arial"/>
              </w:rPr>
              <w:t xml:space="preserve">was </w:t>
            </w:r>
            <w:r>
              <w:rPr>
                <w:rFonts w:ascii="Arial" w:hAnsi="Arial" w:cs="Arial"/>
              </w:rPr>
              <w:t>agreed</w:t>
            </w:r>
            <w:r>
              <w:rPr>
                <w:rFonts w:ascii="Arial" w:hAnsi="Arial" w:cs="Arial"/>
              </w:rPr>
              <w:t xml:space="preserve"> </w:t>
            </w:r>
            <w:r w:rsidRPr="00622AF0">
              <w:rPr>
                <w:rFonts w:ascii="Arial" w:hAnsi="Arial" w:cs="Arial"/>
              </w:rPr>
              <w:t xml:space="preserve">that </w:t>
            </w:r>
            <w:r w:rsidRPr="00622AF0">
              <w:rPr>
                <w:rFonts w:ascii="Arial" w:hAnsi="Arial" w:cs="Arial"/>
              </w:rPr>
              <w:t xml:space="preserve">a </w:t>
            </w:r>
            <w:r w:rsidRPr="00622AF0">
              <w:rPr>
                <w:rFonts w:ascii="Arial" w:hAnsi="Arial" w:cs="Arial"/>
              </w:rPr>
              <w:t xml:space="preserve">combined Commercial Agency Services for all Enterprise Zones (EZs) be procured as a single contract. This will involve the collaboration of </w:t>
            </w:r>
            <w:r w:rsidRPr="00622AF0">
              <w:rPr>
                <w:rFonts w:ascii="Arial" w:hAnsi="Arial" w:cs="Arial"/>
              </w:rPr>
              <w:t>Lancashire County Council and Blackpool Council</w:t>
            </w:r>
            <w:r w:rsidRPr="00622AF0">
              <w:rPr>
                <w:rFonts w:ascii="Arial" w:hAnsi="Arial" w:cs="Arial"/>
              </w:rPr>
              <w:t xml:space="preserve"> in the development of the tender documents, specification and evalua</w:t>
            </w:r>
            <w:r w:rsidRPr="00622AF0">
              <w:rPr>
                <w:rFonts w:ascii="Arial" w:hAnsi="Arial" w:cs="Arial"/>
              </w:rPr>
              <w:t xml:space="preserve">tion criteria.  It is the intention that this is a combined procurement for </w:t>
            </w:r>
            <w:r w:rsidRPr="00622AF0">
              <w:rPr>
                <w:rFonts w:ascii="Arial" w:hAnsi="Arial" w:cs="Arial"/>
              </w:rPr>
              <w:t xml:space="preserve">both </w:t>
            </w:r>
            <w:r w:rsidRPr="00622AF0">
              <w:rPr>
                <w:rFonts w:ascii="Arial" w:hAnsi="Arial" w:cs="Arial"/>
              </w:rPr>
              <w:t>authorities however, if the County</w:t>
            </w:r>
            <w:r>
              <w:rPr>
                <w:rFonts w:ascii="Arial" w:hAnsi="Arial" w:cs="Arial"/>
              </w:rPr>
              <w:t xml:space="preserve"> </w:t>
            </w:r>
            <w:r w:rsidRPr="00622AF0">
              <w:rPr>
                <w:rFonts w:ascii="Arial" w:hAnsi="Arial" w:cs="Arial"/>
              </w:rPr>
              <w:t>Council are unable to combine all requirements of the EZs</w:t>
            </w:r>
            <w:r>
              <w:rPr>
                <w:rFonts w:ascii="Arial" w:hAnsi="Arial" w:cs="Arial"/>
              </w:rPr>
              <w:t>,</w:t>
            </w:r>
            <w:r w:rsidRPr="00622AF0">
              <w:rPr>
                <w:rFonts w:ascii="Arial" w:hAnsi="Arial" w:cs="Arial"/>
              </w:rPr>
              <w:t xml:space="preserve"> or the complexities of this prove not to provide value for money, the County Coun</w:t>
            </w:r>
            <w:r w:rsidRPr="00622AF0">
              <w:rPr>
                <w:rFonts w:ascii="Arial" w:hAnsi="Arial" w:cs="Arial"/>
              </w:rPr>
              <w:t>cil will proceed with the renewal procurement of the SAEZ in the same manner (Open OJEU tender process) without the inclusion of the other EZs</w:t>
            </w:r>
            <w:r w:rsidRPr="00622AF0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 xml:space="preserve">This decision will be delegated to the County Council's Director of  Growth, Environment and Planning with the </w:t>
            </w:r>
            <w:r>
              <w:rPr>
                <w:rFonts w:ascii="Arial" w:hAnsi="Arial" w:cs="Arial"/>
              </w:rPr>
              <w:t>Head of Procurement.</w:t>
            </w:r>
          </w:p>
          <w:p w:rsidR="0090567B" w:rsidRDefault="0016098C" w:rsidP="00721507">
            <w:pPr>
              <w:jc w:val="both"/>
              <w:rPr>
                <w:rFonts w:ascii="Arial" w:hAnsi="Arial" w:cs="Arial"/>
              </w:rPr>
            </w:pPr>
          </w:p>
          <w:p w:rsidR="00721507" w:rsidRPr="00622AF0" w:rsidRDefault="0016098C" w:rsidP="00721507">
            <w:pPr>
              <w:jc w:val="both"/>
              <w:rPr>
                <w:rFonts w:ascii="Arial" w:hAnsi="Arial" w:cs="Arial"/>
              </w:rPr>
            </w:pPr>
            <w:r w:rsidRPr="00622AF0">
              <w:rPr>
                <w:rFonts w:ascii="Arial" w:hAnsi="Arial" w:cs="Arial"/>
              </w:rPr>
              <w:t>It is the intention to award a single supplier framework agreement from which each authority can call-off their requirements</w:t>
            </w:r>
            <w:r>
              <w:rPr>
                <w:rFonts w:ascii="Arial" w:hAnsi="Arial" w:cs="Arial"/>
              </w:rPr>
              <w:t>, and who will contract manage locally</w:t>
            </w:r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It should be noted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that </w:t>
            </w:r>
            <w:r>
              <w:rPr>
                <w:rFonts w:ascii="Arial" w:hAnsi="Arial" w:cs="Arial"/>
              </w:rPr>
              <w:t xml:space="preserve">the intention is that </w:t>
            </w:r>
            <w:r>
              <w:rPr>
                <w:rFonts w:ascii="Arial" w:hAnsi="Arial" w:cs="Arial"/>
              </w:rPr>
              <w:t xml:space="preserve">any County Council </w:t>
            </w:r>
            <w:r>
              <w:rPr>
                <w:rFonts w:ascii="Arial" w:hAnsi="Arial" w:cs="Arial"/>
              </w:rPr>
              <w:t xml:space="preserve">led </w:t>
            </w:r>
            <w:r>
              <w:rPr>
                <w:rFonts w:ascii="Arial" w:hAnsi="Arial" w:cs="Arial"/>
              </w:rPr>
              <w:t>enquiries wouldn’t generate a sales fee</w:t>
            </w:r>
            <w:r>
              <w:rPr>
                <w:rFonts w:ascii="Arial" w:hAnsi="Arial" w:cs="Arial"/>
              </w:rPr>
              <w:t>.</w:t>
            </w:r>
          </w:p>
          <w:p w:rsidR="00225544" w:rsidRPr="00622AF0" w:rsidRDefault="0016098C" w:rsidP="00B86D08">
            <w:pPr>
              <w:jc w:val="both"/>
              <w:rPr>
                <w:rFonts w:ascii="Arial" w:hAnsi="Arial" w:cs="Arial"/>
              </w:rPr>
            </w:pPr>
          </w:p>
          <w:p w:rsidR="006A13DD" w:rsidRPr="00622AF0" w:rsidRDefault="0016098C" w:rsidP="00B86D08">
            <w:pPr>
              <w:jc w:val="both"/>
              <w:rPr>
                <w:rFonts w:ascii="Arial" w:hAnsi="Arial" w:cs="Arial"/>
              </w:rPr>
            </w:pPr>
            <w:r w:rsidRPr="00622AF0">
              <w:rPr>
                <w:rFonts w:ascii="Arial" w:hAnsi="Arial" w:cs="Arial"/>
              </w:rPr>
              <w:t xml:space="preserve">The provision of Commercial Agency Services </w:t>
            </w:r>
            <w:r w:rsidRPr="00622AF0">
              <w:rPr>
                <w:rFonts w:ascii="Arial" w:hAnsi="Arial" w:cs="Arial"/>
              </w:rPr>
              <w:t xml:space="preserve">will </w:t>
            </w:r>
            <w:r w:rsidRPr="00622AF0">
              <w:rPr>
                <w:rFonts w:ascii="Arial" w:hAnsi="Arial" w:cs="Arial"/>
              </w:rPr>
              <w:t>support the development of the Enterprise Zone</w:t>
            </w:r>
            <w:r w:rsidRPr="00622AF0">
              <w:rPr>
                <w:rFonts w:ascii="Arial" w:hAnsi="Arial" w:cs="Arial"/>
              </w:rPr>
              <w:t>s throughout Lancashire</w:t>
            </w:r>
            <w:r w:rsidRPr="00622AF0">
              <w:rPr>
                <w:rFonts w:ascii="Arial" w:hAnsi="Arial" w:cs="Arial"/>
              </w:rPr>
              <w:t xml:space="preserve">. The commercial agent </w:t>
            </w:r>
            <w:r w:rsidRPr="00622AF0">
              <w:rPr>
                <w:rFonts w:ascii="Arial" w:hAnsi="Arial" w:cs="Arial"/>
              </w:rPr>
              <w:t xml:space="preserve">appointed (the Agent) </w:t>
            </w:r>
            <w:r w:rsidRPr="00622AF0">
              <w:rPr>
                <w:rFonts w:ascii="Arial" w:hAnsi="Arial" w:cs="Arial"/>
              </w:rPr>
              <w:t>will be responsible for securing tenants and occupi</w:t>
            </w:r>
            <w:r w:rsidRPr="00622AF0">
              <w:rPr>
                <w:rFonts w:ascii="Arial" w:hAnsi="Arial" w:cs="Arial"/>
              </w:rPr>
              <w:t>ers for the site aligned to the site's advanced manufacturing and engineering focus and the provision of a broad range of advice associated with the above.</w:t>
            </w:r>
          </w:p>
          <w:p w:rsidR="00833558" w:rsidRPr="00622AF0" w:rsidRDefault="0016098C" w:rsidP="00B86D08">
            <w:pPr>
              <w:jc w:val="both"/>
              <w:rPr>
                <w:rFonts w:ascii="Arial" w:hAnsi="Arial" w:cs="Arial"/>
              </w:rPr>
            </w:pPr>
          </w:p>
          <w:p w:rsidR="001D31E2" w:rsidRPr="00622AF0" w:rsidRDefault="0016098C" w:rsidP="00B86D08">
            <w:pPr>
              <w:jc w:val="both"/>
              <w:rPr>
                <w:rFonts w:ascii="Arial" w:hAnsi="Arial" w:cs="Arial"/>
              </w:rPr>
            </w:pPr>
            <w:r w:rsidRPr="00622AF0">
              <w:rPr>
                <w:rFonts w:ascii="Arial" w:hAnsi="Arial" w:cs="Arial"/>
              </w:rPr>
              <w:t xml:space="preserve">The Agents may be required to provide a full property agency service for the disposal of property </w:t>
            </w:r>
            <w:r w:rsidRPr="00622AF0">
              <w:rPr>
                <w:rFonts w:ascii="Arial" w:hAnsi="Arial" w:cs="Arial"/>
              </w:rPr>
              <w:t>on part</w:t>
            </w:r>
            <w:r w:rsidRPr="00622AF0">
              <w:rPr>
                <w:rFonts w:ascii="Arial" w:hAnsi="Arial" w:cs="Arial"/>
              </w:rPr>
              <w:t>(</w:t>
            </w:r>
            <w:r w:rsidRPr="00622AF0">
              <w:rPr>
                <w:rFonts w:ascii="Arial" w:hAnsi="Arial" w:cs="Arial"/>
              </w:rPr>
              <w:t>s</w:t>
            </w:r>
            <w:r w:rsidRPr="00622AF0">
              <w:rPr>
                <w:rFonts w:ascii="Arial" w:hAnsi="Arial" w:cs="Arial"/>
              </w:rPr>
              <w:t>)</w:t>
            </w:r>
            <w:r w:rsidRPr="00622AF0">
              <w:rPr>
                <w:rFonts w:ascii="Arial" w:hAnsi="Arial" w:cs="Arial"/>
              </w:rPr>
              <w:t xml:space="preserve"> of the Enterprise Zones as required by the relevant authority (short term lease and/or long leasehold sales) and investment and joint venture vehicles acting jointly with other agents when required.</w:t>
            </w:r>
          </w:p>
          <w:p w:rsidR="001D31E2" w:rsidRPr="00622AF0" w:rsidRDefault="0016098C" w:rsidP="00B86D08">
            <w:pPr>
              <w:jc w:val="both"/>
              <w:rPr>
                <w:rFonts w:ascii="Arial" w:hAnsi="Arial" w:cs="Arial"/>
              </w:rPr>
            </w:pPr>
          </w:p>
          <w:p w:rsidR="001D31E2" w:rsidRPr="00622AF0" w:rsidRDefault="0016098C" w:rsidP="00B86D08">
            <w:pPr>
              <w:jc w:val="both"/>
              <w:rPr>
                <w:rFonts w:ascii="Arial" w:hAnsi="Arial" w:cs="Arial"/>
              </w:rPr>
            </w:pPr>
            <w:r w:rsidRPr="00622AF0">
              <w:rPr>
                <w:rFonts w:ascii="Arial" w:hAnsi="Arial" w:cs="Arial"/>
              </w:rPr>
              <w:t>The Agents will be required to have a minimum</w:t>
            </w:r>
            <w:r w:rsidRPr="00622AF0">
              <w:rPr>
                <w:rFonts w:ascii="Arial" w:hAnsi="Arial" w:cs="Arial"/>
              </w:rPr>
              <w:t xml:space="preserve"> of 3 years previous experience in commercial marketing and valuation services</w:t>
            </w:r>
            <w:r>
              <w:rPr>
                <w:rFonts w:ascii="Arial" w:hAnsi="Arial" w:cs="Arial"/>
              </w:rPr>
              <w:t xml:space="preserve"> and of securing enquiries/deals that sit within the appropriate sectors that the enterprise zones focus upon.</w:t>
            </w:r>
          </w:p>
          <w:p w:rsidR="001D31E2" w:rsidRPr="00622AF0" w:rsidRDefault="0016098C" w:rsidP="00B86D08">
            <w:pPr>
              <w:jc w:val="both"/>
              <w:rPr>
                <w:rFonts w:ascii="Arial" w:hAnsi="Arial" w:cs="Arial"/>
              </w:rPr>
            </w:pPr>
          </w:p>
          <w:p w:rsidR="0090567B" w:rsidRDefault="0016098C" w:rsidP="00B86D08">
            <w:pPr>
              <w:jc w:val="both"/>
              <w:rPr>
                <w:rFonts w:ascii="Arial" w:hAnsi="Arial" w:cs="Arial"/>
              </w:rPr>
            </w:pPr>
            <w:r w:rsidRPr="00622AF0">
              <w:rPr>
                <w:rFonts w:ascii="Arial" w:hAnsi="Arial" w:cs="Arial"/>
              </w:rPr>
              <w:t xml:space="preserve">The services </w:t>
            </w:r>
            <w:r w:rsidRPr="00622AF0">
              <w:rPr>
                <w:rFonts w:ascii="Arial" w:hAnsi="Arial" w:cs="Arial"/>
              </w:rPr>
              <w:t>provided by the Agent outlined within the specificati</w:t>
            </w:r>
            <w:r w:rsidRPr="00622AF0">
              <w:rPr>
                <w:rFonts w:ascii="Arial" w:hAnsi="Arial" w:cs="Arial"/>
              </w:rPr>
              <w:t xml:space="preserve">on </w:t>
            </w:r>
            <w:r w:rsidRPr="00622AF0">
              <w:rPr>
                <w:rFonts w:ascii="Arial" w:hAnsi="Arial" w:cs="Arial"/>
              </w:rPr>
              <w:t>will include, but may not be limited to</w:t>
            </w:r>
            <w:r w:rsidRPr="00622AF0">
              <w:rPr>
                <w:rFonts w:ascii="Arial" w:hAnsi="Arial" w:cs="Arial"/>
              </w:rPr>
              <w:t>,</w:t>
            </w:r>
            <w:r w:rsidRPr="00622AF0">
              <w:rPr>
                <w:rFonts w:ascii="Arial" w:hAnsi="Arial" w:cs="Arial"/>
              </w:rPr>
              <w:t xml:space="preserve"> </w:t>
            </w:r>
          </w:p>
          <w:p w:rsidR="0090567B" w:rsidRDefault="0016098C" w:rsidP="0090567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0567B">
              <w:rPr>
                <w:rFonts w:ascii="Arial" w:hAnsi="Arial" w:cs="Arial"/>
              </w:rPr>
              <w:t>identifying potential occupants for the E</w:t>
            </w:r>
            <w:r w:rsidRPr="0090567B">
              <w:rPr>
                <w:rFonts w:ascii="Arial" w:hAnsi="Arial" w:cs="Arial"/>
              </w:rPr>
              <w:t xml:space="preserve">nterprise </w:t>
            </w:r>
            <w:r w:rsidRPr="0090567B">
              <w:rPr>
                <w:rFonts w:ascii="Arial" w:hAnsi="Arial" w:cs="Arial"/>
              </w:rPr>
              <w:t>Z</w:t>
            </w:r>
            <w:r w:rsidRPr="0090567B">
              <w:rPr>
                <w:rFonts w:ascii="Arial" w:hAnsi="Arial" w:cs="Arial"/>
              </w:rPr>
              <w:t>one</w:t>
            </w:r>
            <w:r w:rsidRPr="0090567B">
              <w:rPr>
                <w:rFonts w:ascii="Arial" w:hAnsi="Arial" w:cs="Arial"/>
              </w:rPr>
              <w:t xml:space="preserve"> plots, </w:t>
            </w:r>
          </w:p>
          <w:p w:rsidR="0090567B" w:rsidRDefault="0016098C" w:rsidP="0090567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0567B">
              <w:rPr>
                <w:rFonts w:ascii="Arial" w:hAnsi="Arial" w:cs="Arial"/>
              </w:rPr>
              <w:t>act</w:t>
            </w:r>
            <w:r>
              <w:rPr>
                <w:rFonts w:ascii="Arial" w:hAnsi="Arial" w:cs="Arial"/>
              </w:rPr>
              <w:t>ing</w:t>
            </w:r>
            <w:r w:rsidRPr="0090567B">
              <w:rPr>
                <w:rFonts w:ascii="Arial" w:hAnsi="Arial" w:cs="Arial"/>
              </w:rPr>
              <w:t xml:space="preserve"> upon and progress enquiries to the sites, </w:t>
            </w:r>
          </w:p>
          <w:p w:rsidR="0090567B" w:rsidRDefault="0016098C" w:rsidP="0090567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0567B">
              <w:rPr>
                <w:rFonts w:ascii="Arial" w:hAnsi="Arial" w:cs="Arial"/>
              </w:rPr>
              <w:t>negotiat</w:t>
            </w:r>
            <w:r>
              <w:rPr>
                <w:rFonts w:ascii="Arial" w:hAnsi="Arial" w:cs="Arial"/>
              </w:rPr>
              <w:t>ing</w:t>
            </w:r>
            <w:r w:rsidRPr="0090567B">
              <w:rPr>
                <w:rFonts w:ascii="Arial" w:hAnsi="Arial" w:cs="Arial"/>
              </w:rPr>
              <w:t xml:space="preserve"> and secure lease terms, </w:t>
            </w:r>
          </w:p>
          <w:p w:rsidR="0090567B" w:rsidRDefault="0016098C" w:rsidP="0090567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0567B">
              <w:rPr>
                <w:rFonts w:ascii="Arial" w:hAnsi="Arial" w:cs="Arial"/>
              </w:rPr>
              <w:t>provid</w:t>
            </w:r>
            <w:r>
              <w:rPr>
                <w:rFonts w:ascii="Arial" w:hAnsi="Arial" w:cs="Arial"/>
              </w:rPr>
              <w:t>ing</w:t>
            </w:r>
            <w:r w:rsidRPr="0090567B">
              <w:rPr>
                <w:rFonts w:ascii="Arial" w:hAnsi="Arial" w:cs="Arial"/>
              </w:rPr>
              <w:t xml:space="preserve"> market related information and intelligence to the Project Team, </w:t>
            </w:r>
          </w:p>
          <w:p w:rsidR="0090567B" w:rsidRDefault="0016098C" w:rsidP="0090567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0567B">
              <w:rPr>
                <w:rFonts w:ascii="Arial" w:hAnsi="Arial" w:cs="Arial"/>
              </w:rPr>
              <w:t>provid</w:t>
            </w:r>
            <w:r>
              <w:rPr>
                <w:rFonts w:ascii="Arial" w:hAnsi="Arial" w:cs="Arial"/>
              </w:rPr>
              <w:t>ing</w:t>
            </w:r>
            <w:r w:rsidRPr="0090567B">
              <w:rPr>
                <w:rFonts w:ascii="Arial" w:hAnsi="Arial" w:cs="Arial"/>
              </w:rPr>
              <w:t xml:space="preserve"> advice and prepare marketing strategies.  </w:t>
            </w:r>
          </w:p>
          <w:p w:rsidR="001D31E2" w:rsidRPr="0090567B" w:rsidRDefault="0016098C" w:rsidP="0090567B">
            <w:pPr>
              <w:jc w:val="both"/>
              <w:rPr>
                <w:rFonts w:ascii="Arial" w:hAnsi="Arial" w:cs="Arial"/>
              </w:rPr>
            </w:pPr>
            <w:r w:rsidRPr="0090567B">
              <w:rPr>
                <w:rFonts w:ascii="Arial" w:hAnsi="Arial" w:cs="Arial"/>
              </w:rPr>
              <w:t xml:space="preserve">Alongside this there are further requirements such as support in the legal process of disposal, further advice on different elements of </w:t>
            </w:r>
            <w:r w:rsidRPr="0090567B">
              <w:rPr>
                <w:rFonts w:ascii="Arial" w:hAnsi="Arial" w:cs="Arial"/>
              </w:rPr>
              <w:t>the sites and attendance at Governance meetings. T</w:t>
            </w:r>
            <w:r w:rsidRPr="0090567B">
              <w:rPr>
                <w:rFonts w:ascii="Arial" w:hAnsi="Arial" w:cs="Arial"/>
              </w:rPr>
              <w:t>hese requirements will be shared with all authorities to be involved and will be expanded to include the requirements of all Enterprise Zones as needed.</w:t>
            </w:r>
          </w:p>
          <w:p w:rsidR="001D31E2" w:rsidRDefault="0016098C" w:rsidP="00B86D08">
            <w:pPr>
              <w:jc w:val="both"/>
              <w:rPr>
                <w:rFonts w:ascii="Arial" w:hAnsi="Arial" w:cs="Arial"/>
                <w:i/>
                <w:color w:val="FF0000"/>
              </w:rPr>
            </w:pPr>
          </w:p>
          <w:p w:rsidR="00833558" w:rsidRDefault="0016098C" w:rsidP="00B86D08">
            <w:pPr>
              <w:jc w:val="both"/>
              <w:rPr>
                <w:rFonts w:ascii="Arial" w:hAnsi="Arial" w:cs="Arial"/>
                <w:i/>
                <w:color w:val="FF0000"/>
              </w:rPr>
            </w:pPr>
          </w:p>
          <w:p w:rsidR="00833558" w:rsidRPr="00156CF8" w:rsidRDefault="0016098C" w:rsidP="00B86D08">
            <w:pPr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:rsidR="0089604A" w:rsidRPr="004E02A4" w:rsidRDefault="0016098C" w:rsidP="00B86D08">
      <w:pPr>
        <w:jc w:val="both"/>
        <w:rPr>
          <w:rFonts w:ascii="Arial" w:hAnsi="Arial" w:cs="Arial"/>
          <w:b/>
          <w:sz w:val="24"/>
          <w:szCs w:val="24"/>
        </w:rPr>
      </w:pPr>
    </w:p>
    <w:sectPr w:rsidR="0089604A" w:rsidRPr="004E0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098C">
      <w:pPr>
        <w:spacing w:after="0" w:line="240" w:lineRule="auto"/>
      </w:pPr>
      <w:r>
        <w:separator/>
      </w:r>
    </w:p>
  </w:endnote>
  <w:endnote w:type="continuationSeparator" w:id="0">
    <w:p w:rsidR="00000000" w:rsidRDefault="0016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098C">
      <w:pPr>
        <w:spacing w:after="0" w:line="240" w:lineRule="auto"/>
      </w:pPr>
      <w:r>
        <w:separator/>
      </w:r>
    </w:p>
  </w:footnote>
  <w:footnote w:type="continuationSeparator" w:id="0">
    <w:p w:rsidR="00000000" w:rsidRDefault="00160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2741"/>
    <w:multiLevelType w:val="hybridMultilevel"/>
    <w:tmpl w:val="85A489A0"/>
    <w:lvl w:ilvl="0" w:tplc="A2262B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1D874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E292BF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8C8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2FE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85D252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AA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CDC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D9BEED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382C"/>
    <w:multiLevelType w:val="hybridMultilevel"/>
    <w:tmpl w:val="450C38CE"/>
    <w:lvl w:ilvl="0" w:tplc="4942B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86C746" w:tentative="1">
      <w:start w:val="1"/>
      <w:numFmt w:val="lowerLetter"/>
      <w:lvlText w:val="%2."/>
      <w:lvlJc w:val="left"/>
      <w:pPr>
        <w:ind w:left="1080" w:hanging="360"/>
      </w:pPr>
    </w:lvl>
    <w:lvl w:ilvl="2" w:tplc="47C26C56" w:tentative="1">
      <w:start w:val="1"/>
      <w:numFmt w:val="lowerRoman"/>
      <w:lvlText w:val="%3."/>
      <w:lvlJc w:val="right"/>
      <w:pPr>
        <w:ind w:left="1800" w:hanging="180"/>
      </w:pPr>
    </w:lvl>
    <w:lvl w:ilvl="3" w:tplc="8DE2B18E" w:tentative="1">
      <w:start w:val="1"/>
      <w:numFmt w:val="decimal"/>
      <w:lvlText w:val="%4."/>
      <w:lvlJc w:val="left"/>
      <w:pPr>
        <w:ind w:left="2520" w:hanging="360"/>
      </w:pPr>
    </w:lvl>
    <w:lvl w:ilvl="4" w:tplc="13BEADDE" w:tentative="1">
      <w:start w:val="1"/>
      <w:numFmt w:val="lowerLetter"/>
      <w:lvlText w:val="%5."/>
      <w:lvlJc w:val="left"/>
      <w:pPr>
        <w:ind w:left="3240" w:hanging="360"/>
      </w:pPr>
    </w:lvl>
    <w:lvl w:ilvl="5" w:tplc="D3FA9B26" w:tentative="1">
      <w:start w:val="1"/>
      <w:numFmt w:val="lowerRoman"/>
      <w:lvlText w:val="%6."/>
      <w:lvlJc w:val="right"/>
      <w:pPr>
        <w:ind w:left="3960" w:hanging="180"/>
      </w:pPr>
    </w:lvl>
    <w:lvl w:ilvl="6" w:tplc="A056B374" w:tentative="1">
      <w:start w:val="1"/>
      <w:numFmt w:val="decimal"/>
      <w:lvlText w:val="%7."/>
      <w:lvlJc w:val="left"/>
      <w:pPr>
        <w:ind w:left="4680" w:hanging="360"/>
      </w:pPr>
    </w:lvl>
    <w:lvl w:ilvl="7" w:tplc="0D4212D8" w:tentative="1">
      <w:start w:val="1"/>
      <w:numFmt w:val="lowerLetter"/>
      <w:lvlText w:val="%8."/>
      <w:lvlJc w:val="left"/>
      <w:pPr>
        <w:ind w:left="5400" w:hanging="360"/>
      </w:pPr>
    </w:lvl>
    <w:lvl w:ilvl="8" w:tplc="387200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63E86"/>
    <w:multiLevelType w:val="hybridMultilevel"/>
    <w:tmpl w:val="53A69FD8"/>
    <w:lvl w:ilvl="0" w:tplc="E5C40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D07EB8" w:tentative="1">
      <w:start w:val="1"/>
      <w:numFmt w:val="lowerLetter"/>
      <w:lvlText w:val="%2."/>
      <w:lvlJc w:val="left"/>
      <w:pPr>
        <w:ind w:left="1440" w:hanging="360"/>
      </w:pPr>
    </w:lvl>
    <w:lvl w:ilvl="2" w:tplc="C784A298" w:tentative="1">
      <w:start w:val="1"/>
      <w:numFmt w:val="lowerRoman"/>
      <w:lvlText w:val="%3."/>
      <w:lvlJc w:val="right"/>
      <w:pPr>
        <w:ind w:left="2160" w:hanging="180"/>
      </w:pPr>
    </w:lvl>
    <w:lvl w:ilvl="3" w:tplc="30CED8BE" w:tentative="1">
      <w:start w:val="1"/>
      <w:numFmt w:val="decimal"/>
      <w:lvlText w:val="%4."/>
      <w:lvlJc w:val="left"/>
      <w:pPr>
        <w:ind w:left="2880" w:hanging="360"/>
      </w:pPr>
    </w:lvl>
    <w:lvl w:ilvl="4" w:tplc="949CBC70" w:tentative="1">
      <w:start w:val="1"/>
      <w:numFmt w:val="lowerLetter"/>
      <w:lvlText w:val="%5."/>
      <w:lvlJc w:val="left"/>
      <w:pPr>
        <w:ind w:left="3600" w:hanging="360"/>
      </w:pPr>
    </w:lvl>
    <w:lvl w:ilvl="5" w:tplc="AFE0B456" w:tentative="1">
      <w:start w:val="1"/>
      <w:numFmt w:val="lowerRoman"/>
      <w:lvlText w:val="%6."/>
      <w:lvlJc w:val="right"/>
      <w:pPr>
        <w:ind w:left="4320" w:hanging="180"/>
      </w:pPr>
    </w:lvl>
    <w:lvl w:ilvl="6" w:tplc="CEE26748" w:tentative="1">
      <w:start w:val="1"/>
      <w:numFmt w:val="decimal"/>
      <w:lvlText w:val="%7."/>
      <w:lvlJc w:val="left"/>
      <w:pPr>
        <w:ind w:left="5040" w:hanging="360"/>
      </w:pPr>
    </w:lvl>
    <w:lvl w:ilvl="7" w:tplc="8EA0F6B8" w:tentative="1">
      <w:start w:val="1"/>
      <w:numFmt w:val="lowerLetter"/>
      <w:lvlText w:val="%8."/>
      <w:lvlJc w:val="left"/>
      <w:pPr>
        <w:ind w:left="5760" w:hanging="360"/>
      </w:pPr>
    </w:lvl>
    <w:lvl w:ilvl="8" w:tplc="9F16B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072D3"/>
    <w:multiLevelType w:val="hybridMultilevel"/>
    <w:tmpl w:val="6E10EB9E"/>
    <w:lvl w:ilvl="0" w:tplc="79A2A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4A0DC1C" w:tentative="1">
      <w:start w:val="1"/>
      <w:numFmt w:val="lowerLetter"/>
      <w:lvlText w:val="%2."/>
      <w:lvlJc w:val="left"/>
      <w:pPr>
        <w:ind w:left="1440" w:hanging="360"/>
      </w:pPr>
    </w:lvl>
    <w:lvl w:ilvl="2" w:tplc="AFC83B32" w:tentative="1">
      <w:start w:val="1"/>
      <w:numFmt w:val="lowerRoman"/>
      <w:lvlText w:val="%3."/>
      <w:lvlJc w:val="right"/>
      <w:pPr>
        <w:ind w:left="2160" w:hanging="180"/>
      </w:pPr>
    </w:lvl>
    <w:lvl w:ilvl="3" w:tplc="56E2A516" w:tentative="1">
      <w:start w:val="1"/>
      <w:numFmt w:val="decimal"/>
      <w:lvlText w:val="%4."/>
      <w:lvlJc w:val="left"/>
      <w:pPr>
        <w:ind w:left="2880" w:hanging="360"/>
      </w:pPr>
    </w:lvl>
    <w:lvl w:ilvl="4" w:tplc="D0DAF15A" w:tentative="1">
      <w:start w:val="1"/>
      <w:numFmt w:val="lowerLetter"/>
      <w:lvlText w:val="%5."/>
      <w:lvlJc w:val="left"/>
      <w:pPr>
        <w:ind w:left="3600" w:hanging="360"/>
      </w:pPr>
    </w:lvl>
    <w:lvl w:ilvl="5" w:tplc="D46A8E2C" w:tentative="1">
      <w:start w:val="1"/>
      <w:numFmt w:val="lowerRoman"/>
      <w:lvlText w:val="%6."/>
      <w:lvlJc w:val="right"/>
      <w:pPr>
        <w:ind w:left="4320" w:hanging="180"/>
      </w:pPr>
    </w:lvl>
    <w:lvl w:ilvl="6" w:tplc="B68A5D88" w:tentative="1">
      <w:start w:val="1"/>
      <w:numFmt w:val="decimal"/>
      <w:lvlText w:val="%7."/>
      <w:lvlJc w:val="left"/>
      <w:pPr>
        <w:ind w:left="5040" w:hanging="360"/>
      </w:pPr>
    </w:lvl>
    <w:lvl w:ilvl="7" w:tplc="892010FA" w:tentative="1">
      <w:start w:val="1"/>
      <w:numFmt w:val="lowerLetter"/>
      <w:lvlText w:val="%8."/>
      <w:lvlJc w:val="left"/>
      <w:pPr>
        <w:ind w:left="5760" w:hanging="360"/>
      </w:pPr>
    </w:lvl>
    <w:lvl w:ilvl="8" w:tplc="992485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33DE0"/>
    <w:multiLevelType w:val="hybridMultilevel"/>
    <w:tmpl w:val="6CB82ED8"/>
    <w:lvl w:ilvl="0" w:tplc="897AA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ACB56" w:tentative="1">
      <w:start w:val="1"/>
      <w:numFmt w:val="lowerLetter"/>
      <w:lvlText w:val="%2."/>
      <w:lvlJc w:val="left"/>
      <w:pPr>
        <w:ind w:left="1440" w:hanging="360"/>
      </w:pPr>
    </w:lvl>
    <w:lvl w:ilvl="2" w:tplc="5B02BBAC" w:tentative="1">
      <w:start w:val="1"/>
      <w:numFmt w:val="lowerRoman"/>
      <w:lvlText w:val="%3."/>
      <w:lvlJc w:val="right"/>
      <w:pPr>
        <w:ind w:left="2160" w:hanging="180"/>
      </w:pPr>
    </w:lvl>
    <w:lvl w:ilvl="3" w:tplc="6A26C6B6" w:tentative="1">
      <w:start w:val="1"/>
      <w:numFmt w:val="decimal"/>
      <w:lvlText w:val="%4."/>
      <w:lvlJc w:val="left"/>
      <w:pPr>
        <w:ind w:left="2880" w:hanging="360"/>
      </w:pPr>
    </w:lvl>
    <w:lvl w:ilvl="4" w:tplc="D5B07B22" w:tentative="1">
      <w:start w:val="1"/>
      <w:numFmt w:val="lowerLetter"/>
      <w:lvlText w:val="%5."/>
      <w:lvlJc w:val="left"/>
      <w:pPr>
        <w:ind w:left="3600" w:hanging="360"/>
      </w:pPr>
    </w:lvl>
    <w:lvl w:ilvl="5" w:tplc="2B76C32E" w:tentative="1">
      <w:start w:val="1"/>
      <w:numFmt w:val="lowerRoman"/>
      <w:lvlText w:val="%6."/>
      <w:lvlJc w:val="right"/>
      <w:pPr>
        <w:ind w:left="4320" w:hanging="180"/>
      </w:pPr>
    </w:lvl>
    <w:lvl w:ilvl="6" w:tplc="55E21862" w:tentative="1">
      <w:start w:val="1"/>
      <w:numFmt w:val="decimal"/>
      <w:lvlText w:val="%7."/>
      <w:lvlJc w:val="left"/>
      <w:pPr>
        <w:ind w:left="5040" w:hanging="360"/>
      </w:pPr>
    </w:lvl>
    <w:lvl w:ilvl="7" w:tplc="DAE042BA" w:tentative="1">
      <w:start w:val="1"/>
      <w:numFmt w:val="lowerLetter"/>
      <w:lvlText w:val="%8."/>
      <w:lvlJc w:val="left"/>
      <w:pPr>
        <w:ind w:left="5760" w:hanging="360"/>
      </w:pPr>
    </w:lvl>
    <w:lvl w:ilvl="8" w:tplc="3006B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62A72"/>
    <w:multiLevelType w:val="hybridMultilevel"/>
    <w:tmpl w:val="62467492"/>
    <w:lvl w:ilvl="0" w:tplc="9872B9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7AF69EBC" w:tentative="1">
      <w:start w:val="1"/>
      <w:numFmt w:val="lowerLetter"/>
      <w:lvlText w:val="%2."/>
      <w:lvlJc w:val="left"/>
      <w:pPr>
        <w:ind w:left="1440" w:hanging="360"/>
      </w:pPr>
    </w:lvl>
    <w:lvl w:ilvl="2" w:tplc="10980C14" w:tentative="1">
      <w:start w:val="1"/>
      <w:numFmt w:val="lowerRoman"/>
      <w:lvlText w:val="%3."/>
      <w:lvlJc w:val="right"/>
      <w:pPr>
        <w:ind w:left="2160" w:hanging="180"/>
      </w:pPr>
    </w:lvl>
    <w:lvl w:ilvl="3" w:tplc="CD12D2BE" w:tentative="1">
      <w:start w:val="1"/>
      <w:numFmt w:val="decimal"/>
      <w:lvlText w:val="%4."/>
      <w:lvlJc w:val="left"/>
      <w:pPr>
        <w:ind w:left="2880" w:hanging="360"/>
      </w:pPr>
    </w:lvl>
    <w:lvl w:ilvl="4" w:tplc="59F6BAF4" w:tentative="1">
      <w:start w:val="1"/>
      <w:numFmt w:val="lowerLetter"/>
      <w:lvlText w:val="%5."/>
      <w:lvlJc w:val="left"/>
      <w:pPr>
        <w:ind w:left="3600" w:hanging="360"/>
      </w:pPr>
    </w:lvl>
    <w:lvl w:ilvl="5" w:tplc="A8EE5214" w:tentative="1">
      <w:start w:val="1"/>
      <w:numFmt w:val="lowerRoman"/>
      <w:lvlText w:val="%6."/>
      <w:lvlJc w:val="right"/>
      <w:pPr>
        <w:ind w:left="4320" w:hanging="180"/>
      </w:pPr>
    </w:lvl>
    <w:lvl w:ilvl="6" w:tplc="1C00B2B8" w:tentative="1">
      <w:start w:val="1"/>
      <w:numFmt w:val="decimal"/>
      <w:lvlText w:val="%7."/>
      <w:lvlJc w:val="left"/>
      <w:pPr>
        <w:ind w:left="5040" w:hanging="360"/>
      </w:pPr>
    </w:lvl>
    <w:lvl w:ilvl="7" w:tplc="E80A7542" w:tentative="1">
      <w:start w:val="1"/>
      <w:numFmt w:val="lowerLetter"/>
      <w:lvlText w:val="%8."/>
      <w:lvlJc w:val="left"/>
      <w:pPr>
        <w:ind w:left="5760" w:hanging="360"/>
      </w:pPr>
    </w:lvl>
    <w:lvl w:ilvl="8" w:tplc="E46E12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F40FD"/>
    <w:multiLevelType w:val="hybridMultilevel"/>
    <w:tmpl w:val="B4B2B5FA"/>
    <w:lvl w:ilvl="0" w:tplc="B6683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A84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DAF3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2B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0D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927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6FB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09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A618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16306"/>
    <w:multiLevelType w:val="hybridMultilevel"/>
    <w:tmpl w:val="6EC28E64"/>
    <w:lvl w:ilvl="0" w:tplc="7362E5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48CA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84E0F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94BB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9216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3414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FC17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5684B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2CC75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144CA1"/>
    <w:multiLevelType w:val="hybridMultilevel"/>
    <w:tmpl w:val="D352A076"/>
    <w:lvl w:ilvl="0" w:tplc="573049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A688A04" w:tentative="1">
      <w:start w:val="1"/>
      <w:numFmt w:val="lowerLetter"/>
      <w:lvlText w:val="%2."/>
      <w:lvlJc w:val="left"/>
      <w:pPr>
        <w:ind w:left="1440" w:hanging="360"/>
      </w:pPr>
    </w:lvl>
    <w:lvl w:ilvl="2" w:tplc="369431E4" w:tentative="1">
      <w:start w:val="1"/>
      <w:numFmt w:val="lowerRoman"/>
      <w:lvlText w:val="%3."/>
      <w:lvlJc w:val="right"/>
      <w:pPr>
        <w:ind w:left="2160" w:hanging="180"/>
      </w:pPr>
    </w:lvl>
    <w:lvl w:ilvl="3" w:tplc="49D85FE4" w:tentative="1">
      <w:start w:val="1"/>
      <w:numFmt w:val="decimal"/>
      <w:lvlText w:val="%4."/>
      <w:lvlJc w:val="left"/>
      <w:pPr>
        <w:ind w:left="2880" w:hanging="360"/>
      </w:pPr>
    </w:lvl>
    <w:lvl w:ilvl="4" w:tplc="2146F76A" w:tentative="1">
      <w:start w:val="1"/>
      <w:numFmt w:val="lowerLetter"/>
      <w:lvlText w:val="%5."/>
      <w:lvlJc w:val="left"/>
      <w:pPr>
        <w:ind w:left="3600" w:hanging="360"/>
      </w:pPr>
    </w:lvl>
    <w:lvl w:ilvl="5" w:tplc="208E6E58" w:tentative="1">
      <w:start w:val="1"/>
      <w:numFmt w:val="lowerRoman"/>
      <w:lvlText w:val="%6."/>
      <w:lvlJc w:val="right"/>
      <w:pPr>
        <w:ind w:left="4320" w:hanging="180"/>
      </w:pPr>
    </w:lvl>
    <w:lvl w:ilvl="6" w:tplc="935EFB9A" w:tentative="1">
      <w:start w:val="1"/>
      <w:numFmt w:val="decimal"/>
      <w:lvlText w:val="%7."/>
      <w:lvlJc w:val="left"/>
      <w:pPr>
        <w:ind w:left="5040" w:hanging="360"/>
      </w:pPr>
    </w:lvl>
    <w:lvl w:ilvl="7" w:tplc="007AAE42" w:tentative="1">
      <w:start w:val="1"/>
      <w:numFmt w:val="lowerLetter"/>
      <w:lvlText w:val="%8."/>
      <w:lvlJc w:val="left"/>
      <w:pPr>
        <w:ind w:left="5760" w:hanging="360"/>
      </w:pPr>
    </w:lvl>
    <w:lvl w:ilvl="8" w:tplc="C5B68F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44"/>
    <w:rsid w:val="0016098C"/>
    <w:rsid w:val="007530F5"/>
    <w:rsid w:val="0094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8F7E"/>
  <w15:docId w15:val="{7E43AA2C-968C-4AB0-9321-DB069D9B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5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73D"/>
  </w:style>
  <w:style w:type="paragraph" w:styleId="Footer">
    <w:name w:val="footer"/>
    <w:basedOn w:val="Normal"/>
    <w:link w:val="FooterChar"/>
    <w:uiPriority w:val="99"/>
    <w:unhideWhenUsed/>
    <w:rsid w:val="00085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73D"/>
  </w:style>
  <w:style w:type="character" w:styleId="CommentReference">
    <w:name w:val="annotation reference"/>
    <w:basedOn w:val="DefaultParagraphFont"/>
    <w:uiPriority w:val="99"/>
    <w:semiHidden/>
    <w:unhideWhenUsed/>
    <w:rsid w:val="00D93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3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3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B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Goodwill, Sarah</dc:creator>
  <cp:lastModifiedBy>Gorman, Dave</cp:lastModifiedBy>
  <cp:revision>4</cp:revision>
  <dcterms:created xsi:type="dcterms:W3CDTF">2020-11-16T08:48:00Z</dcterms:created>
  <dcterms:modified xsi:type="dcterms:W3CDTF">2020-11-20T10:26:00Z</dcterms:modified>
</cp:coreProperties>
</file>